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D7" w:rsidRDefault="0006371A" w:rsidP="0006371A">
      <w:pPr>
        <w:spacing w:after="8" w:line="259" w:lineRule="auto"/>
        <w:ind w:left="0" w:firstLine="0"/>
        <w:jc w:val="center"/>
      </w:pPr>
      <w:r w:rsidRPr="0006371A">
        <w:rPr>
          <w:noProof/>
        </w:rPr>
        <w:drawing>
          <wp:inline distT="0" distB="0" distL="0" distR="0">
            <wp:extent cx="1461655" cy="1733014"/>
            <wp:effectExtent l="0" t="0" r="5715" b="635"/>
            <wp:docPr id="1" name="Kép 1" descr="\\hpsinbdc2\homes\Varga\Management\bagine\Asztal\platán logó 2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sinbdc2\homes\Varga\Management\bagine\Asztal\platán logó 24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8" t="19080" r="20062" b="24290"/>
                    <a:stretch/>
                  </pic:blipFill>
                  <pic:spPr bwMode="auto">
                    <a:xfrm>
                      <a:off x="0" y="0"/>
                      <a:ext cx="1482136" cy="175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32D7" w:rsidRDefault="00820437">
      <w:pPr>
        <w:spacing w:after="254" w:line="259" w:lineRule="auto"/>
        <w:ind w:left="0" w:firstLine="0"/>
        <w:jc w:val="left"/>
      </w:pPr>
      <w:r>
        <w:rPr>
          <w:b/>
        </w:rPr>
        <w:t xml:space="preserve"> </w:t>
      </w:r>
    </w:p>
    <w:p w:rsidR="006F32D7" w:rsidRDefault="00820437">
      <w:pPr>
        <w:spacing w:after="217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F32D7" w:rsidRDefault="00820437">
      <w:pPr>
        <w:spacing w:after="33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F32D7" w:rsidRDefault="00820437">
      <w:pPr>
        <w:spacing w:after="228" w:line="259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6F32D7" w:rsidRDefault="00820437">
      <w:pPr>
        <w:spacing w:after="202" w:line="316" w:lineRule="auto"/>
        <w:ind w:left="2455" w:hanging="2450"/>
        <w:jc w:val="left"/>
      </w:pPr>
      <w:r>
        <w:rPr>
          <w:b/>
          <w:sz w:val="40"/>
        </w:rPr>
        <w:t xml:space="preserve">A Hódmezővásárhelyi Varga Tamás Általános Iskola Diákönkormányzatának  </w:t>
      </w:r>
    </w:p>
    <w:p w:rsidR="006F32D7" w:rsidRDefault="00820437">
      <w:pPr>
        <w:spacing w:after="154" w:line="259" w:lineRule="auto"/>
        <w:ind w:left="0" w:right="8" w:firstLine="0"/>
        <w:jc w:val="center"/>
      </w:pPr>
      <w:r>
        <w:rPr>
          <w:b/>
          <w:sz w:val="40"/>
        </w:rPr>
        <w:t xml:space="preserve">Szervezeti és Működési Szabályzata </w:t>
      </w:r>
    </w:p>
    <w:p w:rsidR="006F32D7" w:rsidRDefault="00820437">
      <w:pPr>
        <w:spacing w:after="184" w:line="259" w:lineRule="auto"/>
        <w:ind w:left="74" w:firstLine="0"/>
        <w:jc w:val="center"/>
      </w:pPr>
      <w:r>
        <w:rPr>
          <w:b/>
          <w:sz w:val="32"/>
        </w:rPr>
        <w:t xml:space="preserve"> </w:t>
      </w:r>
    </w:p>
    <w:p w:rsidR="006F32D7" w:rsidRDefault="00820437">
      <w:pPr>
        <w:spacing w:line="422" w:lineRule="auto"/>
        <w:ind w:left="4537" w:right="4472" w:firstLine="0"/>
      </w:pPr>
      <w:r>
        <w:rPr>
          <w:b/>
          <w:sz w:val="28"/>
        </w:rPr>
        <w:t xml:space="preserve">  </w:t>
      </w:r>
    </w:p>
    <w:p w:rsidR="006F32D7" w:rsidRDefault="00820437">
      <w:pPr>
        <w:spacing w:after="217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626C47" w:rsidRDefault="00626C47">
      <w:pPr>
        <w:spacing w:after="220" w:line="259" w:lineRule="auto"/>
        <w:ind w:left="64" w:firstLine="0"/>
        <w:jc w:val="center"/>
        <w:rPr>
          <w:b/>
          <w:sz w:val="28"/>
        </w:rPr>
      </w:pPr>
    </w:p>
    <w:p w:rsidR="00626C47" w:rsidRDefault="00626C47">
      <w:pPr>
        <w:spacing w:after="220" w:line="259" w:lineRule="auto"/>
        <w:ind w:left="64" w:firstLine="0"/>
        <w:jc w:val="center"/>
        <w:rPr>
          <w:b/>
          <w:sz w:val="28"/>
        </w:rPr>
      </w:pPr>
    </w:p>
    <w:p w:rsidR="006F32D7" w:rsidRDefault="00820437">
      <w:pPr>
        <w:spacing w:after="220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6F32D7" w:rsidRDefault="00820437">
      <w:pPr>
        <w:spacing w:after="230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6F32D7" w:rsidRDefault="00820437">
      <w:pPr>
        <w:spacing w:after="221" w:line="259" w:lineRule="auto"/>
        <w:ind w:left="-5"/>
        <w:jc w:val="left"/>
      </w:pPr>
      <w:r>
        <w:rPr>
          <w:b/>
        </w:rPr>
        <w:t xml:space="preserve">Készítette:  </w:t>
      </w:r>
    </w:p>
    <w:p w:rsidR="006F32D7" w:rsidRDefault="00820437">
      <w:pPr>
        <w:spacing w:after="260" w:line="259" w:lineRule="auto"/>
        <w:ind w:left="0" w:firstLine="0"/>
        <w:jc w:val="left"/>
      </w:pPr>
      <w:r>
        <w:rPr>
          <w:b/>
        </w:rPr>
        <w:t xml:space="preserve"> </w:t>
      </w:r>
    </w:p>
    <w:p w:rsidR="006F32D7" w:rsidRDefault="00820437">
      <w:pPr>
        <w:tabs>
          <w:tab w:val="center" w:pos="2124"/>
          <w:tab w:val="center" w:pos="2833"/>
          <w:tab w:val="center" w:pos="3541"/>
        </w:tabs>
        <w:spacing w:after="270" w:line="259" w:lineRule="auto"/>
        <w:ind w:left="-15" w:firstLine="0"/>
        <w:jc w:val="left"/>
      </w:pPr>
      <w:proofErr w:type="spellStart"/>
      <w:r>
        <w:rPr>
          <w:b/>
        </w:rPr>
        <w:t>Bánfi</w:t>
      </w:r>
      <w:proofErr w:type="spellEnd"/>
      <w:r>
        <w:rPr>
          <w:b/>
        </w:rPr>
        <w:t xml:space="preserve"> Zoltán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6F32D7" w:rsidRDefault="00820437">
      <w:pPr>
        <w:tabs>
          <w:tab w:val="center" w:pos="4957"/>
          <w:tab w:val="center" w:pos="5665"/>
        </w:tabs>
        <w:spacing w:after="221" w:line="259" w:lineRule="auto"/>
        <w:ind w:left="-15" w:firstLine="0"/>
        <w:jc w:val="left"/>
      </w:pPr>
      <w:r>
        <w:rPr>
          <w:b/>
        </w:rPr>
        <w:t xml:space="preserve">Diákönkormányzatot patronáló pedagógus  </w:t>
      </w:r>
      <w:r>
        <w:rPr>
          <w:b/>
        </w:rPr>
        <w:tab/>
        <w:t xml:space="preserve"> </w:t>
      </w:r>
      <w:r>
        <w:rPr>
          <w:b/>
        </w:rPr>
        <w:tab/>
        <w:t xml:space="preserve">   </w:t>
      </w:r>
    </w:p>
    <w:p w:rsidR="006F32D7" w:rsidRDefault="00820437">
      <w:pPr>
        <w:spacing w:after="248" w:line="259" w:lineRule="auto"/>
        <w:ind w:left="0" w:firstLine="0"/>
        <w:jc w:val="left"/>
      </w:pPr>
      <w:r>
        <w:rPr>
          <w:b/>
        </w:rPr>
        <w:t xml:space="preserve"> </w:t>
      </w:r>
    </w:p>
    <w:p w:rsidR="006F32D7" w:rsidRDefault="00820437">
      <w:pPr>
        <w:spacing w:after="214" w:line="259" w:lineRule="auto"/>
        <w:ind w:right="6"/>
        <w:jc w:val="center"/>
      </w:pPr>
      <w:r>
        <w:rPr>
          <w:b/>
        </w:rPr>
        <w:t>Hódmezővásárhely, 202</w:t>
      </w:r>
      <w:r w:rsidR="00654C35">
        <w:rPr>
          <w:b/>
        </w:rPr>
        <w:t>4</w:t>
      </w:r>
      <w:r>
        <w:rPr>
          <w:b/>
        </w:rPr>
        <w:t xml:space="preserve">. augusztus 31. </w:t>
      </w:r>
    </w:p>
    <w:p w:rsidR="006F32D7" w:rsidRDefault="00820437">
      <w:pPr>
        <w:spacing w:line="259" w:lineRule="auto"/>
        <w:ind w:lef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6F32D7" w:rsidRDefault="00820437" w:rsidP="00626C47">
      <w:pPr>
        <w:spacing w:after="70" w:line="259" w:lineRule="auto"/>
        <w:ind w:right="11"/>
        <w:jc w:val="center"/>
      </w:pPr>
      <w:r>
        <w:rPr>
          <w:b/>
        </w:rPr>
        <w:t>A Hódmezővásárhelyi Varga Tamás Általános Iskola Diákönkormányzatának</w:t>
      </w:r>
    </w:p>
    <w:p w:rsidR="006F32D7" w:rsidRDefault="00820437">
      <w:pPr>
        <w:spacing w:after="214" w:line="259" w:lineRule="auto"/>
        <w:ind w:right="10"/>
        <w:jc w:val="center"/>
      </w:pPr>
      <w:r>
        <w:rPr>
          <w:b/>
        </w:rPr>
        <w:t xml:space="preserve">Szervezeti és Működési Szabályzata </w:t>
      </w:r>
    </w:p>
    <w:p w:rsidR="006F32D7" w:rsidRDefault="00820437">
      <w:pPr>
        <w:spacing w:after="219"/>
        <w:ind w:left="-5"/>
      </w:pPr>
      <w:r>
        <w:t xml:space="preserve">A diákönkormányzat az iskola diákjainak érdekképviseleti szerve. Ennek fényében a diákság elképzeléseit, ötleteit, javaslatait közli a tantestület felé. </w:t>
      </w:r>
    </w:p>
    <w:p w:rsidR="006F32D7" w:rsidRDefault="00820437">
      <w:pPr>
        <w:spacing w:after="206" w:line="265" w:lineRule="auto"/>
        <w:ind w:left="-5"/>
        <w:jc w:val="left"/>
      </w:pPr>
      <w:r>
        <w:rPr>
          <w:b/>
          <w:u w:val="single" w:color="000000"/>
        </w:rPr>
        <w:t>A diákönkormányzat felépítése, tisztségviselők:</w:t>
      </w:r>
      <w:r>
        <w:rPr>
          <w:b/>
        </w:rPr>
        <w:t xml:space="preserve"> </w:t>
      </w:r>
    </w:p>
    <w:p w:rsidR="006F32D7" w:rsidRDefault="00820437">
      <w:pPr>
        <w:spacing w:after="216"/>
        <w:ind w:left="-5"/>
      </w:pPr>
      <w:r>
        <w:t xml:space="preserve">A diákönkormányzatban minden osztályt 2 fő képvisel, akiket minden tanév elején </w:t>
      </w:r>
      <w:proofErr w:type="gramStart"/>
      <w:r>
        <w:t>a</w:t>
      </w:r>
      <w:proofErr w:type="gramEnd"/>
      <w:r>
        <w:t xml:space="preserve"> az osztályok demokratikus úton választanak. A képviselők javaslattételek után maguk közül választanak diákelnököt, helyettest és egyéb tisztségviselőket. A megbízatás egy tanévre szól. Az éves munkáról a patronáló pedagóguson keresztül a nevelőtestületnek kötelesek beszámolni. minden félévben. A diákönkormányzat munkáját a tanulók és a tantestület által felkért tanár segíti. </w:t>
      </w:r>
    </w:p>
    <w:p w:rsidR="006F32D7" w:rsidRDefault="00820437">
      <w:pPr>
        <w:spacing w:after="206" w:line="265" w:lineRule="auto"/>
        <w:ind w:left="-5"/>
        <w:jc w:val="left"/>
      </w:pPr>
      <w:r>
        <w:rPr>
          <w:b/>
          <w:u w:val="single" w:color="000000"/>
        </w:rPr>
        <w:t>A diákönkormányzat működése:</w:t>
      </w:r>
      <w:r>
        <w:rPr>
          <w:b/>
        </w:rPr>
        <w:t xml:space="preserve"> </w:t>
      </w:r>
    </w:p>
    <w:p w:rsidR="006F32D7" w:rsidRDefault="00820437">
      <w:pPr>
        <w:spacing w:after="327"/>
        <w:ind w:left="-5"/>
      </w:pPr>
      <w:r>
        <w:t xml:space="preserve">A diákönkormányzat minden hónapban ülést tart. Rendkívüli esetekben bármikor összehívható. Az ülésekre meghívhatók az iskola diákjai, vezetői, tanárai. A diáktanács akkor határozatképes, ha a szavazati joggal rendelkezők többsége jelen van. Minden ülésről feljegyzés, illetve jegyzőkönyv készül, melybe az iskola bármely tanulója és nevelője betekinthet. A döntésekről, határozatokról az iskolarádió, a hirdetések és képviselők útján tájékozódnak a tanulók. </w:t>
      </w:r>
    </w:p>
    <w:p w:rsidR="006F32D7" w:rsidRDefault="00820437">
      <w:pPr>
        <w:spacing w:after="388"/>
        <w:ind w:left="-5"/>
      </w:pPr>
      <w:r>
        <w:t xml:space="preserve">A diákönkormányzat a bevételekből az iskola tanulóinak tanulását, kikapcsolódását, jutalmazását támogatja.  </w:t>
      </w:r>
    </w:p>
    <w:p w:rsidR="006F32D7" w:rsidRDefault="00820437">
      <w:pPr>
        <w:numPr>
          <w:ilvl w:val="0"/>
          <w:numId w:val="1"/>
        </w:numPr>
        <w:ind w:hanging="360"/>
      </w:pPr>
      <w:r>
        <w:t xml:space="preserve">Versenyek nevezési díjának átvállalása </w:t>
      </w:r>
    </w:p>
    <w:p w:rsidR="006F32D7" w:rsidRDefault="00820437">
      <w:pPr>
        <w:numPr>
          <w:ilvl w:val="0"/>
          <w:numId w:val="1"/>
        </w:numPr>
        <w:ind w:hanging="360"/>
      </w:pPr>
      <w:r>
        <w:t xml:space="preserve">Versenyek díjazása </w:t>
      </w:r>
    </w:p>
    <w:p w:rsidR="006F32D7" w:rsidRDefault="00820437">
      <w:pPr>
        <w:numPr>
          <w:ilvl w:val="0"/>
          <w:numId w:val="1"/>
        </w:numPr>
        <w:ind w:hanging="360"/>
      </w:pPr>
      <w:r>
        <w:t xml:space="preserve">Platán héthez szükséges eszközök megvásárlása </w:t>
      </w:r>
    </w:p>
    <w:p w:rsidR="006F32D7" w:rsidRDefault="00820437">
      <w:pPr>
        <w:numPr>
          <w:ilvl w:val="0"/>
          <w:numId w:val="1"/>
        </w:numPr>
        <w:spacing w:after="28"/>
        <w:ind w:hanging="360"/>
      </w:pPr>
      <w:r>
        <w:t>Taneszközök vásárlása (szótárak, enciklopédiák)</w:t>
      </w:r>
      <w:r>
        <w:rPr>
          <w:rFonts w:ascii="Calibri" w:eastAsia="Calibri" w:hAnsi="Calibri" w:cs="Calibri"/>
          <w:sz w:val="22"/>
        </w:rPr>
        <w:t xml:space="preserve"> </w:t>
      </w:r>
    </w:p>
    <w:p w:rsidR="006F32D7" w:rsidRDefault="00820437">
      <w:pPr>
        <w:numPr>
          <w:ilvl w:val="0"/>
          <w:numId w:val="1"/>
        </w:numPr>
        <w:ind w:hanging="360"/>
      </w:pPr>
      <w:r>
        <w:t xml:space="preserve">Farsang támogatása (szervezésben, </w:t>
      </w:r>
      <w:proofErr w:type="spellStart"/>
      <w:r>
        <w:t>díjazottak</w:t>
      </w:r>
      <w:proofErr w:type="spellEnd"/>
      <w:r>
        <w:t xml:space="preserve"> jutalmazása) </w:t>
      </w:r>
    </w:p>
    <w:p w:rsidR="006F32D7" w:rsidRDefault="00820437">
      <w:pPr>
        <w:numPr>
          <w:ilvl w:val="0"/>
          <w:numId w:val="1"/>
        </w:numPr>
        <w:ind w:hanging="360"/>
      </w:pPr>
      <w:r>
        <w:t xml:space="preserve">Jutalomkönyvek vásárlása </w:t>
      </w:r>
    </w:p>
    <w:p w:rsidR="006F32D7" w:rsidRDefault="00820437">
      <w:pPr>
        <w:numPr>
          <w:ilvl w:val="0"/>
          <w:numId w:val="1"/>
        </w:numPr>
        <w:spacing w:after="295"/>
        <w:ind w:hanging="360"/>
      </w:pPr>
      <w:r>
        <w:t xml:space="preserve">Kirándulások támogatása </w:t>
      </w:r>
    </w:p>
    <w:p w:rsidR="006F32D7" w:rsidRDefault="00820437">
      <w:pPr>
        <w:spacing w:after="206" w:line="265" w:lineRule="auto"/>
        <w:ind w:left="-5"/>
        <w:jc w:val="left"/>
      </w:pPr>
      <w:r>
        <w:rPr>
          <w:b/>
          <w:u w:val="single" w:color="000000"/>
        </w:rPr>
        <w:t>Kapcsolatok:</w:t>
      </w:r>
      <w:r>
        <w:rPr>
          <w:b/>
        </w:rPr>
        <w:t xml:space="preserve"> </w:t>
      </w:r>
    </w:p>
    <w:p w:rsidR="006F32D7" w:rsidRDefault="00820437">
      <w:pPr>
        <w:spacing w:after="169"/>
        <w:ind w:left="-5"/>
      </w:pPr>
      <w:r>
        <w:t xml:space="preserve">A diákönkormányzat kapcsolatot tart az intézményen belüli testületekkel és a városi diákszervezettel, mely az elnök feladata.  </w:t>
      </w:r>
    </w:p>
    <w:p w:rsidR="006F32D7" w:rsidRDefault="00820437">
      <w:pPr>
        <w:spacing w:after="376" w:line="259" w:lineRule="auto"/>
        <w:ind w:left="0" w:firstLine="0"/>
        <w:jc w:val="left"/>
      </w:pPr>
      <w:r>
        <w:rPr>
          <w:b/>
        </w:rPr>
        <w:t xml:space="preserve"> </w:t>
      </w:r>
    </w:p>
    <w:p w:rsidR="006F32D7" w:rsidRDefault="00820437">
      <w:pPr>
        <w:spacing w:after="376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6F32D7" w:rsidRDefault="00820437">
      <w:pPr>
        <w:spacing w:after="416" w:line="265" w:lineRule="auto"/>
        <w:ind w:left="-5"/>
        <w:jc w:val="left"/>
      </w:pPr>
      <w:r>
        <w:rPr>
          <w:b/>
          <w:u w:val="single" w:color="000000"/>
        </w:rPr>
        <w:lastRenderedPageBreak/>
        <w:t>Jogkörök gyakorlása:</w:t>
      </w:r>
      <w:r>
        <w:rPr>
          <w:b/>
        </w:rPr>
        <w:t xml:space="preserve"> </w:t>
      </w:r>
    </w:p>
    <w:p w:rsidR="006F32D7" w:rsidRDefault="00820437">
      <w:pPr>
        <w:spacing w:after="331"/>
        <w:ind w:left="-5"/>
      </w:pPr>
      <w:r>
        <w:t>A diákönkormányzat nevében az aláírási jogot a patronáló pedagógus gyakorolja.</w:t>
      </w:r>
      <w:r>
        <w:rPr>
          <w:b/>
        </w:rPr>
        <w:t xml:space="preserve"> </w:t>
      </w:r>
    </w:p>
    <w:p w:rsidR="006F32D7" w:rsidRDefault="00820437">
      <w:pPr>
        <w:spacing w:after="328"/>
        <w:ind w:left="-5"/>
      </w:pPr>
      <w:r>
        <w:t>A diákönkormányzat a nevelőtestület véleményének kikérésével dönt saját működéséről, a diákönkormányzat működéséhez biztosított anyagi eszközök felhasználásáról, hatáskörei gyakorlásáról.</w:t>
      </w:r>
      <w:r>
        <w:rPr>
          <w:b/>
        </w:rPr>
        <w:t xml:space="preserve"> </w:t>
      </w:r>
    </w:p>
    <w:p w:rsidR="006F32D7" w:rsidRDefault="00820437">
      <w:pPr>
        <w:spacing w:after="164"/>
        <w:ind w:left="-5"/>
      </w:pPr>
      <w:r>
        <w:t xml:space="preserve">A diákönkormányzatnak döntési jogköre van egy tanítás nélküli munkanap programjának meghatározásáról, melyet minden év szeptember 15-ig terjeszt a nevelőtestület elé, az iskolai diákönkormányzat tájékoztatási rendszerének létrehozásáról és működtetéséről. </w:t>
      </w:r>
    </w:p>
    <w:p w:rsidR="006F32D7" w:rsidRDefault="00820437">
      <w:pPr>
        <w:spacing w:after="263" w:line="259" w:lineRule="auto"/>
        <w:ind w:left="0" w:firstLine="0"/>
        <w:jc w:val="left"/>
      </w:pPr>
      <w:r>
        <w:t xml:space="preserve"> </w:t>
      </w:r>
    </w:p>
    <w:p w:rsidR="006F32D7" w:rsidRDefault="00820437">
      <w:pPr>
        <w:spacing w:after="213"/>
        <w:ind w:left="-5"/>
      </w:pPr>
      <w:r>
        <w:t xml:space="preserve">A diákönkormányzat SZMSZ-ét a választó tanulóközösség fogadja el, és a nevelőtestület hagyja jóvá. Az SZMSZ jóváhagyása csak akkor tagadható meg, ha az jogszabálysértő vagy ellentétes az iskola SZMSZ-ével, házirendjével. Az SZMSZ jóváhagyásáról a nevelőtestületnek a jóváhagyásra történő beterjesztést követő harminc napon belül nyilatkoznia kell. Az SZMSZ-t vagy annak módosítását jóváhagyottnak kell tekinteni, ha a nevelőtestület harminc napon belül nem nyilatkozik. </w:t>
      </w:r>
    </w:p>
    <w:p w:rsidR="006F32D7" w:rsidRDefault="00820437">
      <w:pPr>
        <w:spacing w:after="211"/>
        <w:ind w:left="-5"/>
      </w:pPr>
      <w:r>
        <w:t xml:space="preserve"> A diákönkormányzat véleményt nyilváníthat, javaslattal élhet a nevelési-oktatási intézmény működésével és a tanulókkal kapcsolatos valamennyi kérdésben. </w:t>
      </w:r>
    </w:p>
    <w:p w:rsidR="006F32D7" w:rsidRDefault="00820437">
      <w:pPr>
        <w:spacing w:after="231"/>
        <w:ind w:left="-5"/>
      </w:pPr>
      <w:r>
        <w:t xml:space="preserve">Az iskolai diákönkormányzat véleményét - az </w:t>
      </w:r>
      <w:proofErr w:type="spellStart"/>
      <w:r>
        <w:t>Nkt</w:t>
      </w:r>
      <w:proofErr w:type="spellEnd"/>
      <w:r>
        <w:t xml:space="preserve">. 48. § (4) bekezdésben meghatározottakon túl a tanulók közösségét érintő kérdések meghozatalánál ki kell kérni az alábbi pontokban: </w:t>
      </w:r>
    </w:p>
    <w:p w:rsidR="006F32D7" w:rsidRDefault="00820437">
      <w:pPr>
        <w:numPr>
          <w:ilvl w:val="0"/>
          <w:numId w:val="2"/>
        </w:numPr>
        <w:ind w:hanging="360"/>
      </w:pPr>
      <w:proofErr w:type="gramStart"/>
      <w:r>
        <w:t>a  tanulók</w:t>
      </w:r>
      <w:proofErr w:type="gramEnd"/>
      <w:r>
        <w:t xml:space="preserve"> helyzetét elemző, értékelő beszámolók elkészítéséhez, elfogadásához, </w:t>
      </w:r>
    </w:p>
    <w:p w:rsidR="006F32D7" w:rsidRDefault="00820437">
      <w:pPr>
        <w:numPr>
          <w:ilvl w:val="0"/>
          <w:numId w:val="2"/>
        </w:numPr>
        <w:ind w:hanging="360"/>
      </w:pPr>
      <w:r>
        <w:t xml:space="preserve">a tanulói pályázatok, versenyek meghirdetéséhez, megszervezéséhez, </w:t>
      </w:r>
    </w:p>
    <w:p w:rsidR="006F32D7" w:rsidRDefault="00820437">
      <w:pPr>
        <w:numPr>
          <w:ilvl w:val="0"/>
          <w:numId w:val="2"/>
        </w:numPr>
        <w:spacing w:after="28"/>
        <w:ind w:hanging="360"/>
      </w:pPr>
      <w:r>
        <w:t xml:space="preserve">az iskolai sportkör - a munkaterv részét képező - szakmai programjának megállapításához, </w:t>
      </w:r>
    </w:p>
    <w:p w:rsidR="006F32D7" w:rsidRDefault="00820437">
      <w:pPr>
        <w:numPr>
          <w:ilvl w:val="0"/>
          <w:numId w:val="2"/>
        </w:numPr>
        <w:ind w:hanging="360"/>
      </w:pPr>
      <w:r>
        <w:t xml:space="preserve">az egyéb foglalkozás formáinak meghatározásához, </w:t>
      </w:r>
    </w:p>
    <w:p w:rsidR="006F32D7" w:rsidRDefault="00820437">
      <w:pPr>
        <w:numPr>
          <w:ilvl w:val="0"/>
          <w:numId w:val="2"/>
        </w:numPr>
        <w:ind w:hanging="360"/>
      </w:pPr>
      <w:r>
        <w:t xml:space="preserve">a könyvtár, a sportlétesítmények működési rendjének kialakításához, </w:t>
      </w:r>
    </w:p>
    <w:p w:rsidR="006F32D7" w:rsidRDefault="00820437">
      <w:pPr>
        <w:numPr>
          <w:ilvl w:val="0"/>
          <w:numId w:val="2"/>
        </w:numPr>
        <w:ind w:hanging="360"/>
      </w:pPr>
      <w:r>
        <w:t xml:space="preserve">az intézményi SZMSZ-ben meghatározott ügyekben, </w:t>
      </w:r>
    </w:p>
    <w:p w:rsidR="006F32D7" w:rsidRDefault="00820437">
      <w:pPr>
        <w:numPr>
          <w:ilvl w:val="0"/>
          <w:numId w:val="2"/>
        </w:numPr>
        <w:spacing w:after="208"/>
        <w:ind w:hanging="360"/>
      </w:pPr>
      <w:r>
        <w:t xml:space="preserve">az iskolai étkeztetés keretében biztosított ételek minőségéről, az iskola házirendjében szabályozott módon </w:t>
      </w:r>
    </w:p>
    <w:p w:rsidR="006F32D7" w:rsidRDefault="00820437">
      <w:pPr>
        <w:spacing w:after="166"/>
        <w:ind w:left="-5"/>
      </w:pPr>
      <w:r>
        <w:t xml:space="preserve"> Azokban az ügyekben, amelyekben a diákönkormányzat véleményének kikérése kötelező, a diákönkormányzat képviselőjét a tárgyalásra meg kell hívni, és az előterjesztést, valamint a meghívót - ha jogszabály másképp nem rendelkezik - a tárgyalás határnapját legalább tizenöt nappal megelőzően meg kell küldeni a diákönkormányzat részére. </w:t>
      </w:r>
    </w:p>
    <w:p w:rsidR="006F32D7" w:rsidRDefault="00820437">
      <w:pPr>
        <w:ind w:left="-5"/>
      </w:pPr>
      <w:r>
        <w:t>A diákönkormányzat feladatainak ellátásához térítésmentesen használhatja az iskola, a helyiségeit, berendezéseit, ha ezzel nem akadályozza az iskola</w:t>
      </w:r>
      <w:r>
        <w:rPr>
          <w:color w:val="FF0000"/>
        </w:rPr>
        <w:t xml:space="preserve"> </w:t>
      </w:r>
      <w:r>
        <w:t xml:space="preserve">működését. </w:t>
      </w:r>
    </w:p>
    <w:p w:rsidR="006F32D7" w:rsidRDefault="00820437">
      <w:pPr>
        <w:spacing w:after="161"/>
        <w:ind w:left="-5"/>
      </w:pPr>
      <w:r>
        <w:t xml:space="preserve">A diákközgyűlés (iskolánkban diákparlament) összehívását az iskolai diákönkormányzat vezetője kezdeményezi, a tanév helyi rendjében meghatározottak szerint. </w:t>
      </w:r>
    </w:p>
    <w:p w:rsidR="006F32D7" w:rsidRDefault="00820437">
      <w:pPr>
        <w:spacing w:after="164"/>
        <w:ind w:left="-5"/>
      </w:pPr>
      <w:r>
        <w:t xml:space="preserve">A diákközgyűlés napirendi pontjait a közgyűlés megrendezése előtt tizenöt nappal nyilvánosságra kell hozni. </w:t>
      </w:r>
    </w:p>
    <w:p w:rsidR="006F32D7" w:rsidRDefault="00820437">
      <w:pPr>
        <w:spacing w:after="164"/>
        <w:ind w:left="-5"/>
      </w:pPr>
      <w:r>
        <w:t xml:space="preserve">A diákönkormányzatok jogosultak szövetséget létesíteni, továbbá ilyenhez csatlakozni. A szövetség az iskolában a diákönkormányzat jogait nem gyakorolhatja. </w:t>
      </w:r>
    </w:p>
    <w:p w:rsidR="006F32D7" w:rsidRDefault="00820437">
      <w:pPr>
        <w:spacing w:after="164"/>
        <w:ind w:left="-5"/>
      </w:pPr>
      <w:r>
        <w:t xml:space="preserve">Egyetértési jogot gyakorol a házirend, az iskolai SZMSZ elfogadásakor, illetve módosításakor, valamint a fegyelmezési és jutalmazási ügyekkel kapcsolatban </w:t>
      </w:r>
    </w:p>
    <w:p w:rsidR="006F32D7" w:rsidRDefault="00820437">
      <w:pPr>
        <w:spacing w:after="208"/>
        <w:ind w:left="-5"/>
      </w:pPr>
      <w:r>
        <w:t xml:space="preserve">A diákönkormányzat élhet a javaslattevő jogával az iskola működési rendjével, és a tanulókkal összefüggésben valamennyi kérdéssel kapcsolatban. </w:t>
      </w:r>
    </w:p>
    <w:p w:rsidR="006F32D7" w:rsidRDefault="00820437">
      <w:pPr>
        <w:spacing w:after="161"/>
        <w:ind w:left="-5"/>
      </w:pPr>
      <w:r>
        <w:t xml:space="preserve">A diákönkormányzat szervezési és működési szabályzatát a képviselőknek és a nevelőtestületnek egyöntetűen el kell fogadni. </w:t>
      </w:r>
    </w:p>
    <w:p w:rsidR="006F32D7" w:rsidRDefault="00820437">
      <w:pPr>
        <w:spacing w:after="257" w:line="259" w:lineRule="auto"/>
        <w:ind w:left="0" w:firstLine="0"/>
        <w:jc w:val="left"/>
      </w:pPr>
      <w:r>
        <w:t xml:space="preserve"> </w:t>
      </w:r>
    </w:p>
    <w:p w:rsidR="006F32D7" w:rsidRDefault="00820437">
      <w:pPr>
        <w:spacing w:after="165"/>
        <w:ind w:left="-5"/>
      </w:pPr>
      <w:r>
        <w:t>A diákönkormányzat Szervezeti és Működési Szabályzatát a nevelőtestület 202</w:t>
      </w:r>
      <w:r w:rsidR="00654C35">
        <w:t>4</w:t>
      </w:r>
      <w:r>
        <w:t xml:space="preserve">. augusztus 31-én véleményezte. </w:t>
      </w:r>
    </w:p>
    <w:p w:rsidR="006F32D7" w:rsidRDefault="00820437">
      <w:pPr>
        <w:spacing w:after="216" w:line="259" w:lineRule="auto"/>
        <w:ind w:left="0" w:firstLine="0"/>
        <w:jc w:val="left"/>
      </w:pPr>
      <w:r>
        <w:t xml:space="preserve"> </w:t>
      </w:r>
    </w:p>
    <w:p w:rsidR="006F32D7" w:rsidRDefault="00820437">
      <w:pPr>
        <w:spacing w:after="218" w:line="259" w:lineRule="auto"/>
        <w:ind w:left="0" w:firstLine="0"/>
        <w:jc w:val="left"/>
      </w:pPr>
      <w:r>
        <w:t xml:space="preserve"> </w:t>
      </w:r>
    </w:p>
    <w:p w:rsidR="006F32D7" w:rsidRDefault="00820437">
      <w:pPr>
        <w:spacing w:after="228" w:line="259" w:lineRule="auto"/>
        <w:ind w:left="0" w:firstLine="0"/>
        <w:jc w:val="left"/>
      </w:pPr>
      <w:r>
        <w:t xml:space="preserve"> </w:t>
      </w:r>
    </w:p>
    <w:p w:rsidR="006F32D7" w:rsidRDefault="0082043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0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Botkáné Kovács Henriett </w:t>
      </w:r>
    </w:p>
    <w:p w:rsidR="006F32D7" w:rsidRDefault="0082043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9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igazgató </w:t>
      </w:r>
    </w:p>
    <w:p w:rsidR="006F32D7" w:rsidRDefault="00820437">
      <w:pPr>
        <w:spacing w:line="259" w:lineRule="auto"/>
        <w:ind w:left="0" w:firstLine="0"/>
        <w:jc w:val="left"/>
      </w:pPr>
      <w:r>
        <w:t xml:space="preserve"> </w:t>
      </w:r>
    </w:p>
    <w:sectPr w:rsidR="006F32D7">
      <w:pgSz w:w="11906" w:h="16838"/>
      <w:pgMar w:top="1411" w:right="1411" w:bottom="160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164A3"/>
    <w:multiLevelType w:val="hybridMultilevel"/>
    <w:tmpl w:val="151E8092"/>
    <w:lvl w:ilvl="0" w:tplc="DB004C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CDE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A76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BA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085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605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EAD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80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E44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41B71"/>
    <w:multiLevelType w:val="hybridMultilevel"/>
    <w:tmpl w:val="C7C0BECE"/>
    <w:lvl w:ilvl="0" w:tplc="7A64E6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EE1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E42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E38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CD4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C57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EAB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4CA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C50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D7"/>
    <w:rsid w:val="0006371A"/>
    <w:rsid w:val="00626C47"/>
    <w:rsid w:val="00654C35"/>
    <w:rsid w:val="006F32D7"/>
    <w:rsid w:val="00820437"/>
    <w:rsid w:val="0097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B2B2-1125-4343-A149-286414B8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A7B1-D824-414F-9BEF-2BE08223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Bánfi Zoltán</dc:creator>
  <cp:keywords/>
  <cp:lastModifiedBy>Seres Mária</cp:lastModifiedBy>
  <cp:revision>4</cp:revision>
  <dcterms:created xsi:type="dcterms:W3CDTF">2023-12-04T13:48:00Z</dcterms:created>
  <dcterms:modified xsi:type="dcterms:W3CDTF">2024-09-11T11:07:00Z</dcterms:modified>
</cp:coreProperties>
</file>